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27183CDB" w:rsidR="00801359" w:rsidRPr="006C6199" w:rsidRDefault="0045692B" w:rsidP="001D7296">
      <w:pPr>
        <w:spacing w:line="216" w:lineRule="auto"/>
        <w:ind w:right="-2126"/>
        <w:rPr>
          <w:rFonts w:ascii="Calibri" w:hAnsi="Calibri" w:cs="Arial"/>
          <w:b/>
          <w:sz w:val="52"/>
          <w:szCs w:val="52"/>
        </w:rPr>
      </w:pPr>
      <w:r>
        <w:rPr>
          <w:rFonts w:ascii="Calibri" w:hAnsi="Calibri" w:cs="Arial"/>
          <w:sz w:val="28"/>
          <w:szCs w:val="28"/>
        </w:rPr>
        <w:t>JULI</w:t>
      </w:r>
      <w:r w:rsidR="004367CF">
        <w:rPr>
          <w:rFonts w:ascii="Calibri" w:hAnsi="Calibri" w:cs="Arial"/>
          <w:sz w:val="28"/>
          <w:szCs w:val="28"/>
        </w:rPr>
        <w:t xml:space="preserve"> 202</w:t>
      </w:r>
      <w:r>
        <w:rPr>
          <w:rFonts w:ascii="Calibri" w:hAnsi="Calibri" w:cs="Arial"/>
          <w:sz w:val="28"/>
          <w:szCs w:val="28"/>
        </w:rPr>
        <w:t>2</w:t>
      </w:r>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3AE00098" w14:textId="6DF436CA" w:rsidR="00066798" w:rsidRDefault="0045692B" w:rsidP="00BB5EFC">
      <w:pPr>
        <w:spacing w:line="276" w:lineRule="auto"/>
        <w:ind w:right="-2128"/>
        <w:rPr>
          <w:rFonts w:ascii="Arial" w:hAnsi="Arial" w:cs="Arial"/>
          <w:sz w:val="36"/>
          <w:szCs w:val="36"/>
        </w:rPr>
      </w:pPr>
      <w:r>
        <w:rPr>
          <w:rFonts w:ascii="Arial" w:hAnsi="Arial" w:cs="Arial"/>
          <w:sz w:val="36"/>
          <w:szCs w:val="36"/>
        </w:rPr>
        <w:t>SICHERE PLANUNG DURCH SIMULATION</w:t>
      </w:r>
      <w:r w:rsidR="003334B3">
        <w:rPr>
          <w:rFonts w:ascii="Arial" w:hAnsi="Arial" w:cs="Arial"/>
          <w:sz w:val="36"/>
          <w:szCs w:val="36"/>
        </w:rPr>
        <w:t>!</w:t>
      </w:r>
    </w:p>
    <w:p w14:paraId="664C46CA" w14:textId="77777777" w:rsidR="005A7EE1" w:rsidRPr="00B22E18" w:rsidRDefault="005A7EE1" w:rsidP="005A7EE1">
      <w:pPr>
        <w:spacing w:line="276" w:lineRule="auto"/>
        <w:ind w:right="-2128"/>
        <w:rPr>
          <w:rFonts w:ascii="Arial" w:hAnsi="Arial" w:cs="Arial"/>
          <w:sz w:val="14"/>
          <w:szCs w:val="14"/>
        </w:rPr>
      </w:pPr>
    </w:p>
    <w:p w14:paraId="0D6E60D4" w14:textId="468B4AB0" w:rsidR="003334B3" w:rsidRDefault="0045692B" w:rsidP="004B777D">
      <w:pPr>
        <w:spacing w:line="276" w:lineRule="auto"/>
        <w:ind w:right="-2128"/>
        <w:rPr>
          <w:rFonts w:ascii="Arial" w:hAnsi="Arial" w:cs="Arial"/>
          <w:color w:val="000000" w:themeColor="text1"/>
        </w:rPr>
      </w:pPr>
      <w:r w:rsidRPr="0045692B">
        <w:rPr>
          <w:rFonts w:ascii="Arial" w:hAnsi="Arial" w:cs="Arial"/>
          <w:color w:val="000000" w:themeColor="text1"/>
        </w:rPr>
        <w:t>BELEUCHTUNGSSIMULATION FÜR WINDENERGIEANLAGEN ERHÖHT PLANUNGSSICHERHEIT, WIRTSCHAFTLICHKEIT UND NORMENKONFORMITÄT DER INSTALLATION</w:t>
      </w:r>
    </w:p>
    <w:p w14:paraId="19798C56" w14:textId="77777777" w:rsidR="0045692B" w:rsidRDefault="0045692B" w:rsidP="004B777D">
      <w:pPr>
        <w:spacing w:line="276" w:lineRule="auto"/>
        <w:ind w:right="-2128"/>
        <w:rPr>
          <w:rFonts w:ascii="Arial" w:hAnsi="Arial" w:cs="Arial"/>
          <w:color w:val="000000" w:themeColor="text1"/>
        </w:rPr>
      </w:pPr>
    </w:p>
    <w:p w14:paraId="576C34DF" w14:textId="546950FB" w:rsidR="003334B3" w:rsidRPr="0045692B" w:rsidRDefault="0045692B" w:rsidP="004B777D">
      <w:pPr>
        <w:spacing w:line="276" w:lineRule="auto"/>
        <w:ind w:right="-2128"/>
        <w:rPr>
          <w:rFonts w:ascii="Arial" w:hAnsi="Arial" w:cs="Arial"/>
          <w:b/>
        </w:rPr>
      </w:pPr>
      <w:r w:rsidRPr="0045692B">
        <w:rPr>
          <w:rFonts w:ascii="Arial" w:hAnsi="Arial" w:cs="Arial"/>
          <w:b/>
        </w:rPr>
        <w:t>Wenn es darum geht, eine sichere Umgebung für das Wartungspersonal in Windenergieanlagen zu schaffen, kommt es auf eine zuverlässige Beleuchtung an. Werden die damit verbundenen Anforderungen und Kosten bereits in der Planungsphase berücksichtigt, wirkt sich dies positiv auf die Wirtschaftlichkeit und Normenkonformität der Beleuchtungslösung aus. Wie dies gelingt, zeigt Wieland Electric vom 27. bis 30. September 2022 auf der WindEnergy Messe Hamburg.</w:t>
      </w:r>
      <w:r w:rsidR="007E069A" w:rsidRPr="0045692B">
        <w:rPr>
          <w:rFonts w:ascii="Arial" w:hAnsi="Arial" w:cs="Arial"/>
          <w:b/>
        </w:rPr>
        <w:t xml:space="preserve"> </w:t>
      </w:r>
    </w:p>
    <w:p w14:paraId="79CC9E41" w14:textId="2A677071" w:rsidR="007E069A" w:rsidRDefault="007E069A" w:rsidP="004B777D">
      <w:pPr>
        <w:spacing w:line="276" w:lineRule="auto"/>
        <w:ind w:right="-2128"/>
        <w:rPr>
          <w:rFonts w:ascii="Arial" w:hAnsi="Arial" w:cs="Arial"/>
          <w:color w:val="000000" w:themeColor="text1"/>
        </w:rPr>
      </w:pPr>
    </w:p>
    <w:p w14:paraId="5D517897" w14:textId="3C6B6978" w:rsidR="007E069A" w:rsidRDefault="0045692B" w:rsidP="004B777D">
      <w:pPr>
        <w:spacing w:line="276" w:lineRule="auto"/>
        <w:ind w:right="-2128"/>
        <w:rPr>
          <w:rFonts w:ascii="Arial" w:hAnsi="Arial" w:cs="Arial"/>
          <w:color w:val="000000" w:themeColor="text1"/>
        </w:rPr>
      </w:pPr>
      <w:r w:rsidRPr="0045692B">
        <w:rPr>
          <w:rFonts w:ascii="Arial" w:hAnsi="Arial" w:cs="Arial"/>
          <w:color w:val="000000" w:themeColor="text1"/>
        </w:rPr>
        <w:t>Mindestens 50 Lux für die Arbeitsbeleuchtung und mindestens 10 Lux für die Notbeleuchtung entlang des Fluchtwegs – diese Vorgaben gelten in Windenergieanlagen für sämtliche Bereiche, in denen sich Wartungspersonal aufhält. Um sicherzustellen, dass diese und weitere normativen Anforderungen erfüllt werden, lässt sich die Ausleuchtung des Turms bereits im Vorfeld simulieren, passgenau auslegen und verifizieren.</w:t>
      </w:r>
    </w:p>
    <w:p w14:paraId="2AFDCF66" w14:textId="26986206" w:rsidR="007E069A" w:rsidRDefault="007E069A" w:rsidP="004B777D">
      <w:pPr>
        <w:spacing w:line="276" w:lineRule="auto"/>
        <w:ind w:right="-2128"/>
        <w:rPr>
          <w:rFonts w:ascii="Arial" w:hAnsi="Arial" w:cs="Arial"/>
          <w:color w:val="000000" w:themeColor="text1"/>
        </w:rPr>
      </w:pPr>
    </w:p>
    <w:p w14:paraId="3EF53AED" w14:textId="250C32AB" w:rsidR="007E069A" w:rsidRDefault="0045692B" w:rsidP="004B777D">
      <w:pPr>
        <w:spacing w:line="276" w:lineRule="auto"/>
        <w:ind w:right="-2128"/>
        <w:rPr>
          <w:rFonts w:ascii="Arial" w:hAnsi="Arial" w:cs="Arial"/>
          <w:color w:val="000000" w:themeColor="text1"/>
        </w:rPr>
      </w:pPr>
      <w:r w:rsidRPr="0045692B">
        <w:rPr>
          <w:rFonts w:ascii="Arial" w:hAnsi="Arial" w:cs="Arial"/>
          <w:color w:val="000000" w:themeColor="text1"/>
        </w:rPr>
        <w:t>„Im Rahmen unserer Beleuchtungssimulation ermöglichen wir es, die realen Bedingungen der Beleuchtungsinstallation unter Einbezug von 3D-Daten des Turms zu simulieren. Das heißt, unsere erfahrenen Experten positionieren die vorgesehenen Leuchten im Planungstool je nach festgestelltem Schattenwurf in optimaler Weise. So kann nicht nur die exakt benötigte Anzahl an Leuchten bestellt, sondern auch die Infrastrukturverkabelung entsprechend geplant und geordert werden“, erklärt Stefan Kadur, Market Manager Windenergie bei Wieland Electric.</w:t>
      </w:r>
    </w:p>
    <w:p w14:paraId="600092CD" w14:textId="3E475E1A" w:rsidR="0045692B" w:rsidRDefault="0045692B" w:rsidP="004B777D">
      <w:pPr>
        <w:spacing w:line="276" w:lineRule="auto"/>
        <w:ind w:right="-2128"/>
        <w:rPr>
          <w:rFonts w:ascii="Arial" w:hAnsi="Arial" w:cs="Arial"/>
          <w:color w:val="000000" w:themeColor="text1"/>
        </w:rPr>
      </w:pPr>
    </w:p>
    <w:p w14:paraId="52F1ED27" w14:textId="611F9A55" w:rsidR="0045692B" w:rsidRDefault="0045692B" w:rsidP="004B777D">
      <w:pPr>
        <w:spacing w:line="276" w:lineRule="auto"/>
        <w:ind w:right="-2128"/>
        <w:rPr>
          <w:rFonts w:ascii="Arial" w:hAnsi="Arial" w:cs="Arial"/>
          <w:color w:val="000000" w:themeColor="text1"/>
        </w:rPr>
      </w:pPr>
      <w:r w:rsidRPr="0045692B">
        <w:rPr>
          <w:rFonts w:ascii="Arial" w:hAnsi="Arial" w:cs="Arial"/>
          <w:color w:val="000000" w:themeColor="text1"/>
        </w:rPr>
        <w:t xml:space="preserve">Neben einer hohen Planungssicherheit trägt die Beleuchtungssimulation auch zu effizienteren Prozessen bei. Denn über die Simulation können die jeweiligen Beleuchtungslevel ermittelt und über eine Berechnung verifiziert werden. Diese Berechnung der Leuchtenpositionen nach Vorgaben der DIN EN 50308:2005 sorgt dafür, dass die Verifikation und das Messprotokoll für die normative Abnahme vor Ort </w:t>
      </w:r>
      <w:r w:rsidRPr="0045692B">
        <w:rPr>
          <w:rFonts w:ascii="Arial" w:hAnsi="Arial" w:cs="Arial"/>
          <w:color w:val="000000" w:themeColor="text1"/>
        </w:rPr>
        <w:lastRenderedPageBreak/>
        <w:t>im Turm beschleunigt durchgeführt werden können. Darüber hinaus profitieren Hersteller und Betreiber von einer Dokumentation für die Abnahme der Notlicht-Applikation.</w:t>
      </w:r>
    </w:p>
    <w:p w14:paraId="7D1EF847" w14:textId="75823698" w:rsidR="003E7469" w:rsidRDefault="003E7469" w:rsidP="004B777D">
      <w:pPr>
        <w:spacing w:line="276" w:lineRule="auto"/>
        <w:ind w:right="-2128"/>
        <w:rPr>
          <w:rFonts w:ascii="Arial" w:hAnsi="Arial" w:cs="Arial"/>
          <w:color w:val="000000" w:themeColor="text1"/>
        </w:rPr>
      </w:pPr>
    </w:p>
    <w:p w14:paraId="1F755876" w14:textId="048C7355" w:rsidR="003E7469" w:rsidRDefault="003E7469" w:rsidP="004B777D">
      <w:pPr>
        <w:spacing w:line="276" w:lineRule="auto"/>
        <w:ind w:right="-2128"/>
        <w:rPr>
          <w:rFonts w:ascii="Arial" w:hAnsi="Arial" w:cs="Arial"/>
          <w:color w:val="000000" w:themeColor="text1"/>
        </w:rPr>
      </w:pPr>
    </w:p>
    <w:p w14:paraId="1B3125E6" w14:textId="3F358F3B" w:rsidR="003E7469" w:rsidRPr="003E7469" w:rsidRDefault="003E7469" w:rsidP="004B777D">
      <w:pPr>
        <w:spacing w:line="276" w:lineRule="auto"/>
        <w:ind w:right="-2128"/>
        <w:rPr>
          <w:rFonts w:ascii="Arial" w:hAnsi="Arial" w:cs="Arial"/>
          <w:color w:val="000000" w:themeColor="text1"/>
        </w:rPr>
      </w:pPr>
    </w:p>
    <w:p w14:paraId="6454B3B0" w14:textId="207E6605" w:rsidR="00E2008A" w:rsidRPr="00B22E18" w:rsidRDefault="00E2008A" w:rsidP="00494BF7">
      <w:pPr>
        <w:spacing w:line="360" w:lineRule="auto"/>
        <w:ind w:right="-2128"/>
        <w:jc w:val="both"/>
        <w:rPr>
          <w:rFonts w:ascii="Arial" w:hAnsi="Arial" w:cs="Arial"/>
          <w:sz w:val="20"/>
          <w:szCs w:val="20"/>
        </w:rPr>
      </w:pPr>
    </w:p>
    <w:p w14:paraId="74924272" w14:textId="5D4F1F9D" w:rsidR="00F87CBA" w:rsidRDefault="004B332E" w:rsidP="00F87CBA">
      <w:pPr>
        <w:shd w:val="clear" w:color="auto" w:fill="FFFFFF"/>
        <w:rPr>
          <w:rFonts w:ascii="Calibri" w:hAnsi="Calibri"/>
        </w:rPr>
      </w:pPr>
      <w:r w:rsidRPr="00CC24C0">
        <w:rPr>
          <w:rFonts w:ascii="Calibri" w:hAnsi="Calibri"/>
          <w:b/>
          <w:bCs/>
        </w:rPr>
        <w:t>BILD</w:t>
      </w:r>
      <w:r w:rsidRPr="00CC24C0">
        <w:rPr>
          <w:rFonts w:ascii="Calibri" w:hAnsi="Calibri"/>
        </w:rPr>
        <w:t>MATERIAL</w:t>
      </w:r>
    </w:p>
    <w:p w14:paraId="3F7CBEA0" w14:textId="1FD4510E" w:rsidR="0045692B" w:rsidRDefault="0045692B" w:rsidP="00F87CBA">
      <w:pPr>
        <w:shd w:val="clear" w:color="auto" w:fill="FFFFFF"/>
        <w:rPr>
          <w:rFonts w:ascii="Calibri" w:hAnsi="Calibri"/>
        </w:rPr>
      </w:pPr>
    </w:p>
    <w:p w14:paraId="2F363D62" w14:textId="1042787E" w:rsidR="0045692B" w:rsidRDefault="0045692B" w:rsidP="00F87CBA">
      <w:pPr>
        <w:shd w:val="clear" w:color="auto" w:fill="FFFFFF"/>
        <w:rPr>
          <w:rFonts w:ascii="Calibri" w:hAnsi="Calibri"/>
        </w:rPr>
      </w:pPr>
      <w:bookmarkStart w:id="0" w:name="_GoBack"/>
      <w:r>
        <w:rPr>
          <w:rFonts w:ascii="Calibri" w:hAnsi="Calibri"/>
          <w:noProof/>
        </w:rPr>
        <w:drawing>
          <wp:inline distT="0" distB="0" distL="0" distR="0" wp14:anchorId="06590F4B" wp14:editId="6EDC30A1">
            <wp:extent cx="5736590" cy="44684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4468495"/>
                    </a:xfrm>
                    <a:prstGeom prst="rect">
                      <a:avLst/>
                    </a:prstGeom>
                    <a:noFill/>
                  </pic:spPr>
                </pic:pic>
              </a:graphicData>
            </a:graphic>
          </wp:inline>
        </w:drawing>
      </w:r>
      <w:bookmarkEnd w:id="0"/>
    </w:p>
    <w:p w14:paraId="0D6BCFAD" w14:textId="492692E1" w:rsidR="00354EEA" w:rsidRPr="0045692B" w:rsidRDefault="0045692B" w:rsidP="0045692B">
      <w:pPr>
        <w:shd w:val="clear" w:color="auto" w:fill="FFFFFF"/>
        <w:rPr>
          <w:rFonts w:ascii="Calibri" w:hAnsi="Calibri"/>
          <w:sz w:val="18"/>
          <w:szCs w:val="18"/>
        </w:rPr>
      </w:pPr>
      <w:r w:rsidRPr="0045692B">
        <w:rPr>
          <w:rFonts w:ascii="Calibri" w:hAnsi="Calibri"/>
          <w:sz w:val="18"/>
          <w:szCs w:val="18"/>
        </w:rPr>
        <w:t>Realistisch, vorausschauend und ergebnisorientiert: Mit der Beleuchtungssimulation ermöglicht es Wieland Electric, die optimale Ausleuchtung des Turms bereits im Vorfeld ermitteln, was zu einer hohen Planungssicherheit beiträgt.</w:t>
      </w:r>
    </w:p>
    <w:p w14:paraId="298F9BE8" w14:textId="488CED7A" w:rsidR="00354EEA" w:rsidRDefault="00354EEA" w:rsidP="00F87CBA">
      <w:pPr>
        <w:shd w:val="clear" w:color="auto" w:fill="FFFFFF"/>
        <w:rPr>
          <w:rFonts w:ascii="Calibri" w:hAnsi="Calibri"/>
        </w:rPr>
      </w:pPr>
    </w:p>
    <w:p w14:paraId="617F2C79" w14:textId="2F803AA2" w:rsidR="0045692B" w:rsidRDefault="0045692B" w:rsidP="00F87CBA">
      <w:pPr>
        <w:shd w:val="clear" w:color="auto" w:fill="FFFFFF"/>
        <w:rPr>
          <w:rFonts w:ascii="Calibri" w:hAnsi="Calibri"/>
        </w:rPr>
      </w:pPr>
    </w:p>
    <w:p w14:paraId="65562A99" w14:textId="7DC3C4E6" w:rsidR="0045692B" w:rsidRDefault="0045692B" w:rsidP="00F87CBA">
      <w:pPr>
        <w:shd w:val="clear" w:color="auto" w:fill="FFFFFF"/>
        <w:rPr>
          <w:rFonts w:ascii="Calibri" w:hAnsi="Calibri"/>
        </w:rPr>
      </w:pPr>
    </w:p>
    <w:p w14:paraId="5A6595BA" w14:textId="77777777" w:rsidR="0045692B" w:rsidRDefault="0045692B" w:rsidP="00F87CBA">
      <w:pPr>
        <w:shd w:val="clear" w:color="auto" w:fill="FFFFFF"/>
        <w:rPr>
          <w:rFonts w:ascii="Calibri" w:hAnsi="Calibri"/>
        </w:rPr>
      </w:pPr>
    </w:p>
    <w:p w14:paraId="152A0982" w14:textId="77777777" w:rsidR="0045692B" w:rsidRDefault="0045692B" w:rsidP="00F87CBA">
      <w:pPr>
        <w:shd w:val="clear" w:color="auto" w:fill="FFFFFF"/>
        <w:rPr>
          <w:rFonts w:ascii="Calibri" w:hAnsi="Calibri"/>
        </w:rPr>
      </w:pPr>
    </w:p>
    <w:p w14:paraId="7BDC069F" w14:textId="77777777" w:rsidR="00567C30" w:rsidRPr="00174677" w:rsidRDefault="00567C30" w:rsidP="00955C58">
      <w:pPr>
        <w:spacing w:line="360" w:lineRule="auto"/>
        <w:ind w:right="-2128"/>
        <w:rPr>
          <w:rFonts w:ascii="Arial" w:hAnsi="Arial" w:cs="Arial"/>
          <w:bCs/>
          <w:sz w:val="18"/>
          <w:szCs w:val="20"/>
        </w:rPr>
      </w:pPr>
    </w:p>
    <w:p w14:paraId="5C085F52" w14:textId="1B0148AA" w:rsidR="002D205C" w:rsidRPr="00AA137B" w:rsidRDefault="00B049E1" w:rsidP="002F0A74">
      <w:pPr>
        <w:spacing w:line="360" w:lineRule="auto"/>
        <w:ind w:right="-2128"/>
        <w:rPr>
          <w:rFonts w:ascii="Arial" w:hAnsi="Arial" w:cs="Arial"/>
          <w:color w:val="C00000"/>
          <w:sz w:val="22"/>
        </w:rPr>
      </w:pPr>
      <w:r w:rsidRPr="004E3613">
        <w:rPr>
          <w:rFonts w:ascii="Arial" w:hAnsi="Arial" w:cs="Arial"/>
          <w:color w:val="000000" w:themeColor="text1"/>
          <w:sz w:val="22"/>
        </w:rPr>
        <w:lastRenderedPageBreak/>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27A48959" w14:textId="77777777" w:rsidR="00C73EF5" w:rsidRPr="00C73EF5" w:rsidRDefault="00C73EF5" w:rsidP="00C73EF5">
      <w:pPr>
        <w:spacing w:line="360" w:lineRule="auto"/>
        <w:ind w:right="-2128"/>
        <w:rPr>
          <w:rFonts w:ascii="Arial" w:hAnsi="Arial" w:cs="Arial"/>
          <w:sz w:val="18"/>
          <w:szCs w:val="20"/>
        </w:rPr>
      </w:pPr>
      <w:r w:rsidRPr="00C73EF5">
        <w:rPr>
          <w:rFonts w:ascii="Arial" w:hAnsi="Arial" w:cs="Arial"/>
          <w:sz w:val="18"/>
          <w:szCs w:val="20"/>
        </w:rPr>
        <w:t>Zu den Kernbranchen des Unternehmens zählen Maschinenbau, Windkraft, Intralogistik und HVAC sowie</w:t>
      </w:r>
    </w:p>
    <w:p w14:paraId="11FB59EE" w14:textId="10358D25" w:rsidR="00BC511B" w:rsidRDefault="00C73EF5" w:rsidP="00C73EF5">
      <w:pPr>
        <w:spacing w:line="360" w:lineRule="auto"/>
        <w:ind w:right="-2128"/>
        <w:rPr>
          <w:rFonts w:ascii="Arial" w:hAnsi="Arial" w:cs="Arial"/>
          <w:sz w:val="18"/>
          <w:szCs w:val="20"/>
        </w:rPr>
      </w:pPr>
      <w:r w:rsidRPr="00C73EF5">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77777777" w:rsidR="00066165" w:rsidRPr="00B66F64" w:rsidRDefault="00066165" w:rsidP="00BC511B">
      <w:pPr>
        <w:spacing w:line="360" w:lineRule="auto"/>
        <w:ind w:right="-2128"/>
        <w:rPr>
          <w:rFonts w:ascii="Arial" w:hAnsi="Arial" w:cs="Arial"/>
        </w:rPr>
      </w:pPr>
    </w:p>
    <w:p w14:paraId="49D73586" w14:textId="23B19C01" w:rsidR="002D205C" w:rsidRPr="00174677" w:rsidRDefault="00B4460E" w:rsidP="00BC511B">
      <w:pPr>
        <w:spacing w:line="360" w:lineRule="auto"/>
        <w:ind w:right="-2128"/>
        <w:rPr>
          <w:rFonts w:ascii="Arial" w:hAnsi="Arial" w:cs="Arial"/>
          <w:sz w:val="18"/>
          <w:szCs w:val="20"/>
        </w:rPr>
      </w:pPr>
      <w:r w:rsidRPr="00174677">
        <w:rPr>
          <w:rFonts w:ascii="Arial" w:hAnsi="Arial" w:cs="Arial"/>
        </w:rPr>
        <w:t>IHR PRESSEKONTAKT</w:t>
      </w:r>
      <w:r w:rsidR="00874E38" w:rsidRPr="00174677">
        <w:rPr>
          <w:rFonts w:ascii="Arial" w:hAnsi="Arial" w:cs="Arial"/>
        </w:rPr>
        <w:t xml:space="preserve"> </w:t>
      </w:r>
    </w:p>
    <w:p w14:paraId="1FA56351" w14:textId="77777777"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14:paraId="26DFCAE8" w14:textId="5C74482E"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14:paraId="7277EDC3" w14:textId="330ED9A4"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 xml:space="preserve">Telefon: +49 951 9324 </w:t>
      </w:r>
      <w:r w:rsidR="002F0A74">
        <w:rPr>
          <w:rFonts w:ascii="Arial" w:hAnsi="Arial" w:cs="Arial"/>
          <w:sz w:val="18"/>
          <w:szCs w:val="18"/>
          <w:lang w:val="nb-NO"/>
        </w:rPr>
        <w:t>316</w:t>
      </w:r>
    </w:p>
    <w:p w14:paraId="7DE9369D" w14:textId="77777777"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Pr="00174677">
          <w:rPr>
            <w:rStyle w:val="Hyperlink"/>
            <w:rFonts w:ascii="Arial" w:hAnsi="Arial" w:cs="Arial"/>
            <w:sz w:val="18"/>
            <w:szCs w:val="18"/>
            <w:lang w:val="nb-NO"/>
          </w:rPr>
          <w:t>communications@wieland-electric.com</w:t>
        </w:r>
      </w:hyperlink>
    </w:p>
    <w:p w14:paraId="76E13113" w14:textId="30D582C4"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0" w:history="1">
        <w:r w:rsidR="00845DBB" w:rsidRPr="00B22E18">
          <w:rPr>
            <w:rStyle w:val="Hyperlink"/>
            <w:rFonts w:ascii="Arial" w:hAnsi="Arial" w:cs="Arial"/>
            <w:sz w:val="18"/>
            <w:szCs w:val="18"/>
            <w:lang w:val="sv-SE"/>
          </w:rPr>
          <w:t>www.wieland-electric.com</w:t>
        </w:r>
      </w:hyperlink>
      <w:r w:rsidR="00845DBB" w:rsidRPr="00B22E18">
        <w:rPr>
          <w:rFonts w:ascii="Arial" w:hAnsi="Arial" w:cs="Arial"/>
          <w:sz w:val="18"/>
          <w:szCs w:val="18"/>
          <w:lang w:val="sv-SE"/>
        </w:rPr>
        <w:t xml:space="preserve"> </w:t>
      </w:r>
    </w:p>
    <w:p w14:paraId="38249279" w14:textId="77777777" w:rsidR="00A13F5A" w:rsidRPr="00B22E18" w:rsidRDefault="00A13F5A" w:rsidP="00A13F5A">
      <w:pPr>
        <w:spacing w:line="360" w:lineRule="auto"/>
        <w:rPr>
          <w:rFonts w:ascii="Arial" w:hAnsi="Arial" w:cs="Arial"/>
          <w:color w:val="0000FF"/>
          <w:sz w:val="18"/>
          <w:szCs w:val="18"/>
          <w:u w:val="single"/>
          <w:lang w:val="sv-SE"/>
        </w:rPr>
      </w:pPr>
    </w:p>
    <w:p w14:paraId="6E140D70" w14:textId="77777777" w:rsidR="00A13F5A" w:rsidRPr="00B22E18" w:rsidRDefault="00A13F5A" w:rsidP="00A13F5A">
      <w:pPr>
        <w:spacing w:line="360" w:lineRule="auto"/>
        <w:ind w:right="-2128"/>
        <w:rPr>
          <w:rFonts w:ascii="Arial" w:hAnsi="Arial" w:cs="Arial"/>
          <w:b/>
          <w:sz w:val="18"/>
          <w:szCs w:val="18"/>
          <w:lang w:val="sv-SE"/>
        </w:rPr>
      </w:pPr>
      <w:r w:rsidRPr="00B22E18">
        <w:rPr>
          <w:rFonts w:ascii="Arial" w:hAnsi="Arial" w:cs="Arial"/>
          <w:b/>
          <w:sz w:val="18"/>
          <w:szCs w:val="18"/>
          <w:lang w:val="sv-SE"/>
        </w:rPr>
        <w:t>MARION NIKOL</w:t>
      </w:r>
    </w:p>
    <w:p w14:paraId="12546798" w14:textId="77777777"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KOMMUNIKATION FÜR INDUSTRIE &amp; TECHNOLOGIE</w:t>
      </w:r>
    </w:p>
    <w:p w14:paraId="4B16E6E5" w14:textId="77777777" w:rsidR="00A13F5A" w:rsidRPr="00B22E18" w:rsidRDefault="00A13F5A" w:rsidP="00A13F5A">
      <w:pPr>
        <w:spacing w:line="360" w:lineRule="auto"/>
        <w:ind w:right="-2128"/>
        <w:rPr>
          <w:rFonts w:ascii="Arial" w:hAnsi="Arial" w:cs="Arial"/>
          <w:sz w:val="18"/>
          <w:szCs w:val="18"/>
        </w:rPr>
      </w:pPr>
      <w:r w:rsidRPr="00B22E18">
        <w:rPr>
          <w:rFonts w:ascii="Arial" w:hAnsi="Arial" w:cs="Arial"/>
          <w:sz w:val="18"/>
          <w:szCs w:val="18"/>
        </w:rPr>
        <w:t>Telefon: +49 170 2731025</w:t>
      </w:r>
    </w:p>
    <w:p w14:paraId="48A4AD44" w14:textId="77777777" w:rsidR="00A13F5A" w:rsidRPr="00B22E18" w:rsidRDefault="00A13F5A" w:rsidP="00A13F5A">
      <w:pPr>
        <w:spacing w:line="360" w:lineRule="auto"/>
        <w:ind w:right="-2128"/>
        <w:rPr>
          <w:rFonts w:ascii="Arial" w:hAnsi="Arial" w:cs="Arial"/>
          <w:sz w:val="18"/>
          <w:szCs w:val="18"/>
        </w:rPr>
      </w:pPr>
      <w:r w:rsidRPr="00B22E18">
        <w:rPr>
          <w:rFonts w:ascii="Arial" w:hAnsi="Arial" w:cs="Arial"/>
          <w:sz w:val="18"/>
          <w:szCs w:val="18"/>
        </w:rPr>
        <w:t>E-Mail:</w:t>
      </w:r>
      <w:r w:rsidRPr="00B22E18">
        <w:rPr>
          <w:rFonts w:ascii="Arial" w:hAnsi="Arial" w:cs="Arial"/>
          <w:sz w:val="18"/>
          <w:szCs w:val="18"/>
        </w:rPr>
        <w:tab/>
      </w:r>
      <w:hyperlink r:id="rId11" w:history="1">
        <w:r w:rsidRPr="00B22E18">
          <w:rPr>
            <w:rStyle w:val="Hyperlink"/>
            <w:rFonts w:ascii="Arial" w:hAnsi="Arial" w:cs="Arial"/>
            <w:sz w:val="18"/>
            <w:szCs w:val="18"/>
          </w:rPr>
          <w:t>info@intecsting.de</w:t>
        </w:r>
      </w:hyperlink>
      <w:r w:rsidRPr="00B22E18">
        <w:rPr>
          <w:rFonts w:ascii="Arial" w:hAnsi="Arial" w:cs="Arial"/>
          <w:sz w:val="18"/>
          <w:szCs w:val="18"/>
        </w:rPr>
        <w:t xml:space="preserve"> </w:t>
      </w:r>
    </w:p>
    <w:p w14:paraId="7097EDE1" w14:textId="77777777" w:rsidR="00A13F5A" w:rsidRPr="00427876" w:rsidRDefault="00A13F5A" w:rsidP="00A13F5A">
      <w:pPr>
        <w:spacing w:line="360" w:lineRule="auto"/>
        <w:ind w:right="-2128"/>
        <w:rPr>
          <w:rFonts w:ascii="Arial" w:hAnsi="Arial" w:cs="Arial"/>
          <w:color w:val="0000FF"/>
          <w:sz w:val="18"/>
          <w:szCs w:val="18"/>
          <w:u w:val="single"/>
        </w:rPr>
      </w:pPr>
      <w:r w:rsidRPr="00174677">
        <w:rPr>
          <w:rFonts w:ascii="Arial" w:hAnsi="Arial" w:cs="Arial"/>
          <w:sz w:val="18"/>
          <w:szCs w:val="18"/>
        </w:rPr>
        <w:t>Internet:</w:t>
      </w:r>
      <w:r w:rsidRPr="00174677">
        <w:rPr>
          <w:rFonts w:ascii="Arial" w:hAnsi="Arial" w:cs="Arial"/>
          <w:sz w:val="18"/>
          <w:szCs w:val="18"/>
        </w:rPr>
        <w:tab/>
      </w:r>
      <w:hyperlink r:id="rId12" w:history="1">
        <w:r w:rsidRPr="00174677">
          <w:rPr>
            <w:rStyle w:val="Hyperlink"/>
            <w:rFonts w:ascii="Arial" w:hAnsi="Arial" w:cs="Arial"/>
            <w:sz w:val="18"/>
            <w:szCs w:val="18"/>
          </w:rPr>
          <w:t>www.intecsting.de</w:t>
        </w:r>
      </w:hyperlink>
      <w:r w:rsidRPr="00427876">
        <w:rPr>
          <w:rFonts w:ascii="Arial" w:hAnsi="Arial" w:cs="Arial"/>
          <w:sz w:val="18"/>
          <w:szCs w:val="18"/>
        </w:rPr>
        <w:t xml:space="preserve"> </w:t>
      </w:r>
    </w:p>
    <w:p w14:paraId="0F8DCB53" w14:textId="77777777" w:rsidR="00A13F5A" w:rsidRPr="0017749B" w:rsidRDefault="00A13F5A" w:rsidP="00A13F5A">
      <w:pPr>
        <w:spacing w:line="360" w:lineRule="auto"/>
        <w:ind w:right="-2128"/>
        <w:rPr>
          <w:rFonts w:ascii="Arial" w:hAnsi="Arial" w:cs="Arial"/>
          <w:color w:val="0000FF"/>
          <w:sz w:val="18"/>
          <w:szCs w:val="18"/>
          <w:u w:val="single"/>
        </w:rPr>
      </w:pPr>
    </w:p>
    <w:p w14:paraId="0432F48E" w14:textId="5FA8C968"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3"/>
      <w:footerReference w:type="even" r:id="rId14"/>
      <w:footerReference w:type="default" r:id="rId15"/>
      <w:headerReference w:type="first" r:id="rId16"/>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896BC" w14:textId="77777777" w:rsidR="00174AE0" w:rsidRDefault="00174AE0" w:rsidP="00597742">
      <w:r>
        <w:separator/>
      </w:r>
    </w:p>
  </w:endnote>
  <w:endnote w:type="continuationSeparator" w:id="0">
    <w:p w14:paraId="23833A3F" w14:textId="77777777" w:rsidR="00174AE0" w:rsidRDefault="00174AE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0611026"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45692B">
      <w:rPr>
        <w:rFonts w:ascii="Calibri" w:eastAsia="MS Gothic" w:hAnsi="Calibri" w:cs="Arial"/>
        <w:bCs/>
        <w:sz w:val="16"/>
        <w:szCs w:val="16"/>
      </w:rPr>
      <w:t>2-07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664E3">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664E3">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05F3521D"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45692B">
      <w:rPr>
        <w:rFonts w:ascii="Calibri" w:eastAsia="MS Gothic" w:hAnsi="Calibri" w:cs="Arial"/>
        <w:bCs/>
        <w:sz w:val="16"/>
        <w:szCs w:val="16"/>
      </w:rPr>
      <w:t>2-07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664E3">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664E3">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19C60" w14:textId="77777777" w:rsidR="00174AE0" w:rsidRDefault="00174AE0" w:rsidP="00597742">
      <w:r>
        <w:separator/>
      </w:r>
    </w:p>
  </w:footnote>
  <w:footnote w:type="continuationSeparator" w:id="0">
    <w:p w14:paraId="787BCB95" w14:textId="77777777" w:rsidR="00174AE0" w:rsidRDefault="00174AE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E47649">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174AE0">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6FFA"/>
    <w:rsid w:val="00037D25"/>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4AE0"/>
    <w:rsid w:val="0017749B"/>
    <w:rsid w:val="00177F2F"/>
    <w:rsid w:val="00185949"/>
    <w:rsid w:val="001A464A"/>
    <w:rsid w:val="001B7225"/>
    <w:rsid w:val="001C09F9"/>
    <w:rsid w:val="001C163B"/>
    <w:rsid w:val="001C2417"/>
    <w:rsid w:val="001C5D27"/>
    <w:rsid w:val="001D7296"/>
    <w:rsid w:val="00214753"/>
    <w:rsid w:val="002174F3"/>
    <w:rsid w:val="00225AB8"/>
    <w:rsid w:val="00236971"/>
    <w:rsid w:val="002441FC"/>
    <w:rsid w:val="00244EFA"/>
    <w:rsid w:val="002457A8"/>
    <w:rsid w:val="0024699C"/>
    <w:rsid w:val="002534C5"/>
    <w:rsid w:val="002566D4"/>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D2466"/>
    <w:rsid w:val="003D492B"/>
    <w:rsid w:val="003E6968"/>
    <w:rsid w:val="003E7469"/>
    <w:rsid w:val="003F1F07"/>
    <w:rsid w:val="003F5EC1"/>
    <w:rsid w:val="003F70DE"/>
    <w:rsid w:val="00404097"/>
    <w:rsid w:val="004076E7"/>
    <w:rsid w:val="00411012"/>
    <w:rsid w:val="004114E7"/>
    <w:rsid w:val="004126FA"/>
    <w:rsid w:val="00424AE7"/>
    <w:rsid w:val="00432033"/>
    <w:rsid w:val="00433A31"/>
    <w:rsid w:val="004364BA"/>
    <w:rsid w:val="004367CF"/>
    <w:rsid w:val="00452327"/>
    <w:rsid w:val="0045692B"/>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24C4"/>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6199"/>
    <w:rsid w:val="006D05F7"/>
    <w:rsid w:val="006D3E85"/>
    <w:rsid w:val="006E0A47"/>
    <w:rsid w:val="006E1FE7"/>
    <w:rsid w:val="006E4B3C"/>
    <w:rsid w:val="006E6639"/>
    <w:rsid w:val="006F0B41"/>
    <w:rsid w:val="00703568"/>
    <w:rsid w:val="00704AFF"/>
    <w:rsid w:val="00704FB6"/>
    <w:rsid w:val="00705D2F"/>
    <w:rsid w:val="00710479"/>
    <w:rsid w:val="00715996"/>
    <w:rsid w:val="00730228"/>
    <w:rsid w:val="007331CE"/>
    <w:rsid w:val="007338F9"/>
    <w:rsid w:val="00737E68"/>
    <w:rsid w:val="00740244"/>
    <w:rsid w:val="00742400"/>
    <w:rsid w:val="0076150F"/>
    <w:rsid w:val="00761C20"/>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314B1"/>
    <w:rsid w:val="0083152D"/>
    <w:rsid w:val="00835F35"/>
    <w:rsid w:val="00843A37"/>
    <w:rsid w:val="00845DBB"/>
    <w:rsid w:val="008472E3"/>
    <w:rsid w:val="00851E9A"/>
    <w:rsid w:val="0085460B"/>
    <w:rsid w:val="00854997"/>
    <w:rsid w:val="008606DA"/>
    <w:rsid w:val="0086105D"/>
    <w:rsid w:val="00873332"/>
    <w:rsid w:val="00874E38"/>
    <w:rsid w:val="0088304B"/>
    <w:rsid w:val="0088346D"/>
    <w:rsid w:val="008861E2"/>
    <w:rsid w:val="00892F88"/>
    <w:rsid w:val="00893AF0"/>
    <w:rsid w:val="008A4241"/>
    <w:rsid w:val="008A7A05"/>
    <w:rsid w:val="008B0905"/>
    <w:rsid w:val="008B50FB"/>
    <w:rsid w:val="008B7A0C"/>
    <w:rsid w:val="008C2F32"/>
    <w:rsid w:val="008C7580"/>
    <w:rsid w:val="008D1187"/>
    <w:rsid w:val="008D325E"/>
    <w:rsid w:val="008E0F66"/>
    <w:rsid w:val="008E2160"/>
    <w:rsid w:val="008E4E5D"/>
    <w:rsid w:val="008F369A"/>
    <w:rsid w:val="008F4AA4"/>
    <w:rsid w:val="00902D7E"/>
    <w:rsid w:val="00905D86"/>
    <w:rsid w:val="009077F4"/>
    <w:rsid w:val="009125B0"/>
    <w:rsid w:val="00922C27"/>
    <w:rsid w:val="00922F51"/>
    <w:rsid w:val="009236CA"/>
    <w:rsid w:val="00933213"/>
    <w:rsid w:val="009354F2"/>
    <w:rsid w:val="00941A08"/>
    <w:rsid w:val="009477F2"/>
    <w:rsid w:val="00955C58"/>
    <w:rsid w:val="009664E3"/>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42F7"/>
    <w:rsid w:val="00BA76DA"/>
    <w:rsid w:val="00BB2922"/>
    <w:rsid w:val="00BB5EFC"/>
    <w:rsid w:val="00BC511B"/>
    <w:rsid w:val="00BD0BDB"/>
    <w:rsid w:val="00BD28B7"/>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82C69"/>
    <w:rsid w:val="00C855A6"/>
    <w:rsid w:val="00C9102D"/>
    <w:rsid w:val="00C910DD"/>
    <w:rsid w:val="00C952C8"/>
    <w:rsid w:val="00CA4545"/>
    <w:rsid w:val="00CC24C0"/>
    <w:rsid w:val="00CC404F"/>
    <w:rsid w:val="00CC41AE"/>
    <w:rsid w:val="00CD64CF"/>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7B4E"/>
    <w:rsid w:val="00D90B7D"/>
    <w:rsid w:val="00D92133"/>
    <w:rsid w:val="00D92901"/>
    <w:rsid w:val="00D95B51"/>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4243"/>
    <w:rsid w:val="00EC4C59"/>
    <w:rsid w:val="00ED05A4"/>
    <w:rsid w:val="00EE66A9"/>
    <w:rsid w:val="00EF187F"/>
    <w:rsid w:val="00EF4DDD"/>
    <w:rsid w:val="00F00E83"/>
    <w:rsid w:val="00F14078"/>
    <w:rsid w:val="00F421A5"/>
    <w:rsid w:val="00F42402"/>
    <w:rsid w:val="00F466DF"/>
    <w:rsid w:val="00F47799"/>
    <w:rsid w:val="00F570A1"/>
    <w:rsid w:val="00F62FAC"/>
    <w:rsid w:val="00F63CFE"/>
    <w:rsid w:val="00F73349"/>
    <w:rsid w:val="00F76F20"/>
    <w:rsid w:val="00F8013D"/>
    <w:rsid w:val="00F83148"/>
    <w:rsid w:val="00F85A14"/>
    <w:rsid w:val="00F8615B"/>
    <w:rsid w:val="00F87CBA"/>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UnresolvedMention">
    <w:name w:val="Unresolved Mention"/>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ieland-electric.com"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C3A68-4D31-46DD-AB33-A4B7D9ED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3652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Petruc Christian</cp:lastModifiedBy>
  <cp:revision>2</cp:revision>
  <cp:lastPrinted>2020-03-27T11:27:00Z</cp:lastPrinted>
  <dcterms:created xsi:type="dcterms:W3CDTF">2022-07-19T14:28:00Z</dcterms:created>
  <dcterms:modified xsi:type="dcterms:W3CDTF">2022-07-19T14:28:00Z</dcterms:modified>
</cp:coreProperties>
</file>